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afterLines="50"/>
        <w:jc w:val="center"/>
        <w:rPr>
          <w:rFonts w:hint="eastAsia" w:ascii="宋体" w:hAnsi="宋体" w:eastAsia="宋体" w:cs="宋体"/>
          <w:color w:val="000000" w:themeColor="text1"/>
          <w:sz w:val="52"/>
          <w:szCs w:val="52"/>
          <w:shd w:val="clear" w:color="auto" w:fill="FFFFFF"/>
          <w:lang w:val="en-US" w:eastAsia="zh-CN"/>
        </w:rPr>
      </w:pPr>
      <w:bookmarkStart w:id="0" w:name="_GoBack"/>
      <w:r>
        <w:rPr>
          <w:rFonts w:hint="eastAsia" w:ascii="宋体" w:hAnsi="宋体" w:eastAsia="宋体" w:cs="宋体"/>
          <w:color w:val="000000" w:themeColor="text1"/>
          <w:sz w:val="52"/>
          <w:szCs w:val="52"/>
          <w:shd w:val="clear" w:color="auto" w:fill="FFFFFF"/>
          <w:lang w:val="en-US" w:eastAsia="zh-CN"/>
        </w:rPr>
        <w:t>招标参数</w:t>
      </w:r>
    </w:p>
    <w:bookmarkEnd w:id="0"/>
    <w:tbl>
      <w:tblPr>
        <w:tblStyle w:val="8"/>
        <w:tblW w:w="96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4"/>
        <w:gridCol w:w="1134"/>
        <w:gridCol w:w="78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tcBorders>
              <w:top w:val="single" w:color="auto" w:sz="6" w:space="0"/>
              <w:left w:val="single" w:color="auto" w:sz="6" w:space="0"/>
              <w:bottom w:val="single" w:color="auto" w:sz="6" w:space="0"/>
              <w:right w:val="single" w:color="auto" w:sz="6" w:space="0"/>
            </w:tcBorders>
            <w:shd w:val="clear" w:color="auto" w:fill="C0C0C0"/>
            <w:vAlign w:val="center"/>
          </w:tcPr>
          <w:p>
            <w:pPr>
              <w:snapToGrid w:val="0"/>
              <w:spacing w:line="340" w:lineRule="exact"/>
              <w:jc w:val="center"/>
              <w:rPr>
                <w:rFonts w:ascii="宋体" w:hAnsi="Calibri"/>
                <w:b/>
                <w:bCs/>
                <w:color w:val="000000"/>
                <w:sz w:val="22"/>
              </w:rPr>
            </w:pPr>
            <w:r>
              <w:rPr>
                <w:rFonts w:hint="eastAsia" w:ascii="宋体"/>
                <w:color w:val="000000"/>
                <w:sz w:val="22"/>
              </w:rPr>
              <w:t>序号</w:t>
            </w:r>
          </w:p>
        </w:tc>
        <w:tc>
          <w:tcPr>
            <w:tcW w:w="1134" w:type="dxa"/>
            <w:tcBorders>
              <w:top w:val="single" w:color="auto" w:sz="6" w:space="0"/>
              <w:left w:val="nil"/>
              <w:bottom w:val="single" w:color="auto" w:sz="6" w:space="0"/>
              <w:right w:val="single" w:color="auto" w:sz="6" w:space="0"/>
            </w:tcBorders>
            <w:shd w:val="clear" w:color="auto" w:fill="C0C0C0"/>
            <w:vAlign w:val="center"/>
          </w:tcPr>
          <w:p>
            <w:pPr>
              <w:snapToGrid w:val="0"/>
              <w:spacing w:line="340" w:lineRule="exact"/>
              <w:jc w:val="center"/>
              <w:rPr>
                <w:rFonts w:ascii="宋体" w:hAnsi="Calibri"/>
                <w:b/>
                <w:bCs/>
                <w:color w:val="000000"/>
                <w:sz w:val="22"/>
              </w:rPr>
            </w:pPr>
            <w:r>
              <w:rPr>
                <w:rFonts w:hint="eastAsia" w:ascii="宋体"/>
                <w:color w:val="000000"/>
                <w:sz w:val="22"/>
              </w:rPr>
              <w:t>功能模块</w:t>
            </w:r>
          </w:p>
        </w:tc>
        <w:tc>
          <w:tcPr>
            <w:tcW w:w="7838" w:type="dxa"/>
            <w:tcBorders>
              <w:top w:val="single" w:color="auto" w:sz="6" w:space="0"/>
              <w:left w:val="nil"/>
              <w:bottom w:val="single" w:color="auto" w:sz="6" w:space="0"/>
              <w:right w:val="single" w:color="auto" w:sz="6" w:space="0"/>
            </w:tcBorders>
            <w:shd w:val="clear" w:color="auto" w:fill="C0C0C0"/>
            <w:vAlign w:val="center"/>
          </w:tcPr>
          <w:p>
            <w:pPr>
              <w:snapToGrid w:val="0"/>
              <w:spacing w:line="340" w:lineRule="exact"/>
              <w:jc w:val="center"/>
              <w:rPr>
                <w:rFonts w:ascii="宋体" w:hAnsi="Calibri"/>
                <w:b/>
                <w:bCs/>
                <w:color w:val="000000"/>
                <w:sz w:val="22"/>
              </w:rPr>
            </w:pPr>
            <w:r>
              <w:rPr>
                <w:rFonts w:hint="eastAsia" w:ascii="宋体"/>
                <w:color w:val="000000"/>
                <w:sz w:val="22"/>
              </w:rPr>
              <w:t>技术参数、建设要求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restart"/>
            <w:tcBorders>
              <w:top w:val="nil"/>
              <w:left w:val="single" w:color="auto" w:sz="6" w:space="0"/>
              <w:right w:val="single" w:color="auto" w:sz="6" w:space="0"/>
            </w:tcBorders>
            <w:vAlign w:val="center"/>
          </w:tcPr>
          <w:p>
            <w:pPr>
              <w:snapToGrid w:val="0"/>
              <w:spacing w:line="340" w:lineRule="exact"/>
              <w:jc w:val="both"/>
              <w:rPr>
                <w:rFonts w:ascii="宋体" w:hAnsi="Calibri"/>
                <w:b/>
                <w:bCs/>
                <w:color w:val="000000"/>
                <w:sz w:val="22"/>
              </w:rPr>
            </w:pPr>
            <w:r>
              <w:rPr>
                <w:rFonts w:hint="eastAsia" w:ascii="宋体"/>
                <w:color w:val="000000"/>
                <w:sz w:val="22"/>
              </w:rPr>
              <w:t>1</w:t>
            </w:r>
          </w:p>
        </w:tc>
        <w:tc>
          <w:tcPr>
            <w:tcW w:w="1134" w:type="dxa"/>
            <w:vMerge w:val="restart"/>
            <w:tcBorders>
              <w:top w:val="nil"/>
              <w:left w:val="nil"/>
              <w:right w:val="single" w:color="auto" w:sz="6" w:space="0"/>
            </w:tcBorders>
            <w:vAlign w:val="center"/>
          </w:tcPr>
          <w:p>
            <w:pPr>
              <w:snapToGrid w:val="0"/>
              <w:spacing w:line="340" w:lineRule="exact"/>
              <w:jc w:val="center"/>
              <w:rPr>
                <w:rFonts w:ascii="宋体" w:hAnsi="Calibri"/>
                <w:b/>
                <w:bCs/>
                <w:color w:val="000000"/>
                <w:sz w:val="22"/>
              </w:rPr>
            </w:pPr>
            <w:r>
              <w:rPr>
                <w:rFonts w:hint="eastAsia" w:ascii="宋体"/>
                <w:color w:val="000000"/>
                <w:sz w:val="22"/>
              </w:rPr>
              <w:t>系统架构</w:t>
            </w:r>
          </w:p>
        </w:tc>
        <w:tc>
          <w:tcPr>
            <w:tcW w:w="7838" w:type="dxa"/>
            <w:tcBorders>
              <w:top w:val="single" w:color="auto" w:sz="6" w:space="0"/>
              <w:left w:val="nil"/>
              <w:bottom w:val="single" w:color="auto" w:sz="6" w:space="0"/>
              <w:right w:val="single" w:color="auto" w:sz="6" w:space="0"/>
            </w:tcBorders>
            <w:vAlign w:val="center"/>
          </w:tcPr>
          <w:p>
            <w:pPr>
              <w:tabs>
                <w:tab w:val="left" w:pos="4536"/>
              </w:tabs>
              <w:rPr>
                <w:color w:val="000000" w:themeColor="text1"/>
                <w:sz w:val="24"/>
                <w:highlight w:val="none"/>
              </w:rPr>
            </w:pPr>
            <w:r>
              <w:rPr>
                <w:rFonts w:hint="eastAsia"/>
                <w:color w:val="000000" w:themeColor="text1"/>
                <w:sz w:val="24"/>
                <w:highlight w:val="none"/>
              </w:rPr>
              <w:t>吞吐量：</w:t>
            </w:r>
            <w:r>
              <w:rPr>
                <w:color w:val="000000" w:themeColor="text1"/>
                <w:highlight w:val="none"/>
              </w:rPr>
              <w:t>≥</w:t>
            </w:r>
            <w:r>
              <w:rPr>
                <w:color w:val="000000" w:themeColor="text1"/>
                <w:sz w:val="24"/>
                <w:highlight w:val="none"/>
              </w:rPr>
              <w:t xml:space="preserve"> </w:t>
            </w:r>
            <w:r>
              <w:rPr>
                <w:rFonts w:hint="eastAsia"/>
                <w:color w:val="000000" w:themeColor="text1"/>
                <w:sz w:val="24"/>
                <w:highlight w:val="none"/>
                <w:lang w:val="en-US" w:eastAsia="zh-CN"/>
              </w:rPr>
              <w:t>3</w:t>
            </w:r>
            <w:r>
              <w:rPr>
                <w:color w:val="000000" w:themeColor="text1"/>
                <w:sz w:val="24"/>
                <w:highlight w:val="none"/>
              </w:rPr>
              <w:t>000Mbps  SQL</w:t>
            </w:r>
            <w:r>
              <w:rPr>
                <w:rFonts w:hint="eastAsia"/>
                <w:color w:val="000000" w:themeColor="text1"/>
                <w:sz w:val="24"/>
                <w:highlight w:val="none"/>
              </w:rPr>
              <w:t>事务数</w:t>
            </w:r>
            <w:r>
              <w:rPr>
                <w:color w:val="000000" w:themeColor="text1"/>
                <w:sz w:val="24"/>
                <w:highlight w:val="none"/>
              </w:rPr>
              <w:t>/</w:t>
            </w:r>
            <w:r>
              <w:rPr>
                <w:rFonts w:hint="eastAsia"/>
                <w:color w:val="000000" w:themeColor="text1"/>
                <w:sz w:val="24"/>
                <w:highlight w:val="none"/>
              </w:rPr>
              <w:t>秒：</w:t>
            </w:r>
            <w:r>
              <w:rPr>
                <w:color w:val="000000" w:themeColor="text1"/>
                <w:sz w:val="24"/>
                <w:highlight w:val="none"/>
              </w:rPr>
              <w:t xml:space="preserve"> 50,000</w:t>
            </w:r>
          </w:p>
          <w:p>
            <w:pPr>
              <w:tabs>
                <w:tab w:val="left" w:pos="4536"/>
              </w:tabs>
              <w:rPr>
                <w:color w:val="000000" w:themeColor="text1"/>
                <w:sz w:val="24"/>
                <w:highlight w:val="none"/>
              </w:rPr>
            </w:pPr>
            <w:r>
              <w:rPr>
                <w:rFonts w:hint="eastAsia"/>
                <w:color w:val="000000" w:themeColor="text1"/>
                <w:sz w:val="24"/>
                <w:highlight w:val="none"/>
              </w:rPr>
              <w:t>存储标配：</w:t>
            </w:r>
            <w:r>
              <w:rPr>
                <w:color w:val="000000" w:themeColor="text1"/>
                <w:highlight w:val="none"/>
              </w:rPr>
              <w:t>≥</w:t>
            </w:r>
            <w:r>
              <w:rPr>
                <w:rFonts w:hint="eastAsia"/>
                <w:color w:val="000000" w:themeColor="text1"/>
                <w:sz w:val="24"/>
                <w:highlight w:val="none"/>
              </w:rPr>
              <w:t>1T</w:t>
            </w:r>
            <w:r>
              <w:rPr>
                <w:color w:val="000000" w:themeColor="text1"/>
                <w:sz w:val="24"/>
                <w:highlight w:val="none"/>
              </w:rPr>
              <w:t>B</w:t>
            </w:r>
            <w:r>
              <w:rPr>
                <w:rFonts w:hint="eastAsia"/>
                <w:color w:val="000000" w:themeColor="text1"/>
                <w:sz w:val="24"/>
                <w:highlight w:val="none"/>
              </w:rPr>
              <w:t>企业级</w:t>
            </w:r>
            <w:r>
              <w:rPr>
                <w:color w:val="000000" w:themeColor="text1"/>
                <w:sz w:val="24"/>
                <w:highlight w:val="none"/>
              </w:rPr>
              <w:t xml:space="preserve">HDD </w:t>
            </w:r>
            <w:r>
              <w:rPr>
                <w:rFonts w:hint="eastAsia"/>
                <w:color w:val="000000" w:themeColor="text1"/>
                <w:sz w:val="24"/>
                <w:highlight w:val="none"/>
              </w:rPr>
              <w:t>（含</w:t>
            </w:r>
            <w:r>
              <w:rPr>
                <w:color w:val="000000" w:themeColor="text1"/>
                <w:sz w:val="24"/>
                <w:highlight w:val="none"/>
              </w:rPr>
              <w:t xml:space="preserve"> 64M</w:t>
            </w:r>
            <w:r>
              <w:rPr>
                <w:rFonts w:hint="eastAsia"/>
                <w:color w:val="000000" w:themeColor="text1"/>
                <w:sz w:val="24"/>
                <w:highlight w:val="none"/>
              </w:rPr>
              <w:t>缓存）采用</w:t>
            </w:r>
            <w:r>
              <w:rPr>
                <w:color w:val="000000" w:themeColor="text1"/>
                <w:sz w:val="24"/>
                <w:highlight w:val="none"/>
              </w:rPr>
              <w:t xml:space="preserve">Raid 1 </w:t>
            </w:r>
            <w:r>
              <w:rPr>
                <w:rFonts w:hint="eastAsia"/>
                <w:color w:val="000000" w:themeColor="text1"/>
                <w:sz w:val="24"/>
                <w:highlight w:val="none"/>
              </w:rPr>
              <w:t>阵列</w:t>
            </w:r>
          </w:p>
          <w:p>
            <w:pPr>
              <w:tabs>
                <w:tab w:val="left" w:pos="4536"/>
              </w:tabs>
              <w:rPr>
                <w:color w:val="000000" w:themeColor="text1"/>
                <w:sz w:val="24"/>
                <w:highlight w:val="none"/>
              </w:rPr>
            </w:pPr>
            <w:r>
              <w:rPr>
                <w:rFonts w:hint="eastAsia"/>
                <w:color w:val="000000" w:themeColor="text1"/>
                <w:sz w:val="24"/>
                <w:highlight w:val="none"/>
              </w:rPr>
              <w:t>硬件配置：</w:t>
            </w:r>
            <w:r>
              <w:rPr>
                <w:color w:val="000000" w:themeColor="text1"/>
                <w:sz w:val="24"/>
                <w:highlight w:val="none"/>
              </w:rPr>
              <w:t xml:space="preserve"> Intel  </w:t>
            </w:r>
            <w:r>
              <w:rPr>
                <w:rFonts w:hint="eastAsia"/>
                <w:color w:val="000000" w:themeColor="text1"/>
                <w:sz w:val="24"/>
                <w:highlight w:val="none"/>
              </w:rPr>
              <w:t>G1840</w:t>
            </w:r>
            <w:r>
              <w:rPr>
                <w:color w:val="000000" w:themeColor="text1"/>
                <w:sz w:val="24"/>
                <w:highlight w:val="none"/>
              </w:rPr>
              <w:t>(</w:t>
            </w:r>
            <w:r>
              <w:rPr>
                <w:rFonts w:hint="eastAsia"/>
                <w:color w:val="000000" w:themeColor="text1"/>
                <w:sz w:val="24"/>
                <w:highlight w:val="none"/>
              </w:rPr>
              <w:t>双核，</w:t>
            </w:r>
            <w:r>
              <w:rPr>
                <w:color w:val="000000" w:themeColor="text1"/>
                <w:sz w:val="24"/>
                <w:highlight w:val="none"/>
              </w:rPr>
              <w:t>2.6GHz),</w:t>
            </w:r>
            <w:r>
              <w:rPr>
                <w:rFonts w:hint="eastAsia"/>
                <w:color w:val="000000" w:themeColor="text1"/>
                <w:sz w:val="24"/>
                <w:highlight w:val="none"/>
              </w:rPr>
              <w:t>内存：</w:t>
            </w:r>
            <w:r>
              <w:rPr>
                <w:color w:val="000000" w:themeColor="text1"/>
                <w:sz w:val="24"/>
                <w:highlight w:val="none"/>
              </w:rPr>
              <w:t>4G</w:t>
            </w:r>
            <w:r>
              <w:rPr>
                <w:rFonts w:hint="eastAsia"/>
                <w:color w:val="000000" w:themeColor="text1"/>
                <w:sz w:val="24"/>
                <w:highlight w:val="none"/>
              </w:rPr>
              <w:t>，单电源</w:t>
            </w:r>
          </w:p>
          <w:p>
            <w:pPr>
              <w:tabs>
                <w:tab w:val="left" w:pos="4536"/>
              </w:tabs>
              <w:rPr>
                <w:color w:val="000000"/>
                <w:sz w:val="24"/>
              </w:rPr>
            </w:pPr>
            <w:r>
              <w:rPr>
                <w:rFonts w:hint="eastAsia"/>
                <w:color w:val="000000" w:themeColor="text1"/>
                <w:sz w:val="24"/>
                <w:highlight w:val="none"/>
              </w:rPr>
              <w:t>接口配置：</w:t>
            </w:r>
            <w:r>
              <w:rPr>
                <w:color w:val="000000" w:themeColor="text1"/>
                <w:highlight w:val="none"/>
              </w:rPr>
              <w:t>≥</w:t>
            </w:r>
            <w:r>
              <w:rPr>
                <w:color w:val="000000" w:themeColor="text1"/>
                <w:sz w:val="24"/>
                <w:highlight w:val="none"/>
              </w:rPr>
              <w:t xml:space="preserve"> 10/100/1000M</w:t>
            </w:r>
            <w:r>
              <w:rPr>
                <w:rFonts w:hint="eastAsia"/>
                <w:color w:val="000000" w:themeColor="text1"/>
                <w:sz w:val="24"/>
                <w:highlight w:val="none"/>
              </w:rPr>
              <w:t>自适应电口</w:t>
            </w:r>
            <w:r>
              <w:rPr>
                <w:color w:val="000000" w:themeColor="text1"/>
                <w:sz w:val="24"/>
                <w:highlight w:val="none"/>
              </w:rPr>
              <w:t xml:space="preserve"> *</w:t>
            </w:r>
            <w:r>
              <w:rPr>
                <w:rFonts w:hint="eastAsia"/>
                <w:color w:val="000000" w:themeColor="text1"/>
                <w:sz w:val="24"/>
                <w:highlight w:val="none"/>
              </w:rPr>
              <w:t>6</w:t>
            </w:r>
            <w:r>
              <w:rPr>
                <w:color w:val="000000" w:themeColor="text1"/>
                <w:sz w:val="24"/>
                <w:highlight w:val="none"/>
              </w:rPr>
              <w:t xml:space="preserve"> </w:t>
            </w:r>
            <w:r>
              <w:rPr>
                <w:rFonts w:hint="eastAsia"/>
                <w:color w:val="000000" w:themeColor="text1"/>
                <w:sz w:val="24"/>
                <w:highlight w:val="none"/>
              </w:rPr>
              <w:t>（不低于此配置）。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left w:val="single" w:color="auto" w:sz="6" w:space="0"/>
              <w:right w:val="single" w:color="auto" w:sz="6" w:space="0"/>
            </w:tcBorders>
            <w:vAlign w:val="center"/>
          </w:tcPr>
          <w:p>
            <w:pPr>
              <w:snapToGrid w:val="0"/>
              <w:spacing w:line="340" w:lineRule="exact"/>
              <w:jc w:val="both"/>
              <w:rPr>
                <w:rFonts w:ascii="宋体"/>
                <w:color w:val="000000"/>
                <w:sz w:val="22"/>
              </w:rPr>
            </w:pPr>
          </w:p>
        </w:tc>
        <w:tc>
          <w:tcPr>
            <w:tcW w:w="1134" w:type="dxa"/>
            <w:vMerge w:val="continue"/>
            <w:tcBorders>
              <w:left w:val="nil"/>
              <w:right w:val="single" w:color="auto" w:sz="6" w:space="0"/>
            </w:tcBorders>
            <w:vAlign w:val="center"/>
          </w:tcPr>
          <w:p>
            <w:pPr>
              <w:snapToGrid w:val="0"/>
              <w:spacing w:line="340" w:lineRule="exact"/>
              <w:jc w:val="center"/>
              <w:rPr>
                <w:rFonts w:ascii="宋体"/>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color w:val="000000"/>
                <w:sz w:val="22"/>
              </w:rPr>
            </w:pPr>
            <w:r>
              <w:rPr>
                <w:rFonts w:hint="eastAsia" w:ascii="宋体"/>
                <w:color w:val="000000"/>
                <w:sz w:val="22"/>
              </w:rPr>
              <w:t>系统支持采用旁路部署方式，不需要更改现有网络结构、服务器相关配置，系统运行不得影响现有网络和业务的正常运行。系统应能独立完成审计数据采集，不依赖于数据库自身审计日志系统，不得在现有服务器上安装可能带来风险的程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left w:val="single" w:color="auto" w:sz="6" w:space="0"/>
              <w:right w:val="single" w:color="auto" w:sz="6" w:space="0"/>
            </w:tcBorders>
            <w:vAlign w:val="center"/>
          </w:tcPr>
          <w:p>
            <w:pPr>
              <w:jc w:val="both"/>
              <w:rPr>
                <w:rFonts w:ascii="宋体" w:hAnsi="Calibri"/>
                <w:b/>
                <w:bCs/>
                <w:color w:val="000000"/>
                <w:sz w:val="22"/>
              </w:rPr>
            </w:pPr>
          </w:p>
        </w:tc>
        <w:tc>
          <w:tcPr>
            <w:tcW w:w="1134" w:type="dxa"/>
            <w:vMerge w:val="continue"/>
            <w:tcBorders>
              <w:left w:val="nil"/>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采用B/S架构，提供中文WEB管理界面以便于管理。并应可以根据不同的安全级别采用不同的实时告警响应方式，包括记录、消息、鸣音、邮件等，并能支持短信平台。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left w:val="single" w:color="auto" w:sz="6" w:space="0"/>
              <w:right w:val="single" w:color="auto" w:sz="6" w:space="0"/>
            </w:tcBorders>
            <w:vAlign w:val="center"/>
          </w:tcPr>
          <w:p>
            <w:pPr>
              <w:jc w:val="both"/>
              <w:rPr>
                <w:rFonts w:ascii="宋体" w:hAnsi="Calibri"/>
                <w:b/>
                <w:bCs/>
                <w:color w:val="000000"/>
                <w:sz w:val="22"/>
              </w:rPr>
            </w:pPr>
          </w:p>
        </w:tc>
        <w:tc>
          <w:tcPr>
            <w:tcW w:w="1134" w:type="dxa"/>
            <w:vMerge w:val="continue"/>
            <w:tcBorders>
              <w:left w:val="nil"/>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系统支持双密码用户，安全性更高。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left w:val="single" w:color="auto" w:sz="6" w:space="0"/>
              <w:right w:val="single" w:color="auto" w:sz="6" w:space="0"/>
            </w:tcBorders>
            <w:vAlign w:val="center"/>
          </w:tcPr>
          <w:p>
            <w:pPr>
              <w:jc w:val="both"/>
              <w:rPr>
                <w:rFonts w:ascii="宋体" w:hAnsi="Calibri"/>
                <w:b/>
                <w:bCs/>
                <w:color w:val="000000"/>
                <w:sz w:val="22"/>
              </w:rPr>
            </w:pPr>
          </w:p>
        </w:tc>
        <w:tc>
          <w:tcPr>
            <w:tcW w:w="1134" w:type="dxa"/>
            <w:vMerge w:val="continue"/>
            <w:tcBorders>
              <w:left w:val="nil"/>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所有系统数据都支持加密传输，防止信息外泄。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left w:val="single" w:color="auto" w:sz="6" w:space="0"/>
              <w:right w:val="single" w:color="auto" w:sz="6" w:space="0"/>
            </w:tcBorders>
            <w:vAlign w:val="center"/>
          </w:tcPr>
          <w:p>
            <w:pPr>
              <w:jc w:val="both"/>
              <w:rPr>
                <w:rFonts w:ascii="宋体" w:hAnsi="Calibri"/>
                <w:b/>
                <w:bCs/>
                <w:color w:val="000000"/>
                <w:sz w:val="22"/>
              </w:rPr>
            </w:pPr>
          </w:p>
        </w:tc>
        <w:tc>
          <w:tcPr>
            <w:tcW w:w="1134" w:type="dxa"/>
            <w:vMerge w:val="continue"/>
            <w:tcBorders>
              <w:left w:val="nil"/>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针对多套系统可以进行分布式部署集中式管理，定时采集直属医疗单位防统方审计报告，便于卫生与健康委员会纪监部门统一监管直属医疗单位系统使用情况。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left w:val="single" w:color="auto" w:sz="6" w:space="0"/>
              <w:right w:val="single" w:color="auto" w:sz="6" w:space="0"/>
            </w:tcBorders>
            <w:vAlign w:val="center"/>
          </w:tcPr>
          <w:p>
            <w:pPr>
              <w:jc w:val="both"/>
              <w:rPr>
                <w:rFonts w:ascii="宋体" w:hAnsi="Calibri"/>
                <w:b/>
                <w:bCs/>
                <w:color w:val="000000"/>
                <w:sz w:val="22"/>
              </w:rPr>
            </w:pPr>
          </w:p>
        </w:tc>
        <w:tc>
          <w:tcPr>
            <w:tcW w:w="1134" w:type="dxa"/>
            <w:vMerge w:val="continue"/>
            <w:tcBorders>
              <w:left w:val="nil"/>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系统的时间可以和关键服务器中的数据库的时间进行同步，确保记录时间的一致性。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left w:val="single" w:color="auto" w:sz="6" w:space="0"/>
              <w:bottom w:val="single" w:color="auto" w:sz="6" w:space="0"/>
              <w:right w:val="single" w:color="auto" w:sz="6" w:space="0"/>
            </w:tcBorders>
            <w:vAlign w:val="center"/>
          </w:tcPr>
          <w:p>
            <w:pPr>
              <w:snapToGrid w:val="0"/>
              <w:spacing w:line="340" w:lineRule="exact"/>
              <w:jc w:val="both"/>
              <w:rPr>
                <w:rFonts w:hint="eastAsia" w:ascii="宋体"/>
                <w:color w:val="000000"/>
                <w:sz w:val="22"/>
              </w:rPr>
            </w:pPr>
          </w:p>
        </w:tc>
        <w:tc>
          <w:tcPr>
            <w:tcW w:w="1134" w:type="dxa"/>
            <w:vMerge w:val="continue"/>
            <w:tcBorders>
              <w:left w:val="nil"/>
              <w:bottom w:val="single" w:color="auto" w:sz="6" w:space="0"/>
              <w:right w:val="single" w:color="auto" w:sz="6" w:space="0"/>
            </w:tcBorders>
            <w:vAlign w:val="center"/>
          </w:tcPr>
          <w:p>
            <w:pPr>
              <w:snapToGrid w:val="0"/>
              <w:spacing w:line="340" w:lineRule="exact"/>
              <w:jc w:val="center"/>
              <w:rPr>
                <w:rFonts w:hint="eastAsia" w:ascii="宋体"/>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hint="eastAsia" w:ascii="宋体"/>
                <w:color w:val="000000"/>
                <w:sz w:val="22"/>
                <w:lang w:val="en-US" w:eastAsia="zh-CN"/>
              </w:rPr>
            </w:pPr>
            <w:r>
              <w:rPr>
                <w:rFonts w:hint="eastAsia" w:ascii="宋体"/>
                <w:color w:val="000000"/>
                <w:sz w:val="22"/>
              </w:rPr>
              <w:t>系统将预留一定的接口以作维护，二次开发之用。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restart"/>
            <w:tcBorders>
              <w:top w:val="nil"/>
              <w:left w:val="single" w:color="auto" w:sz="6" w:space="0"/>
              <w:bottom w:val="single" w:color="auto" w:sz="6" w:space="0"/>
              <w:right w:val="single" w:color="auto" w:sz="6" w:space="0"/>
            </w:tcBorders>
            <w:vAlign w:val="center"/>
          </w:tcPr>
          <w:p>
            <w:pPr>
              <w:snapToGrid w:val="0"/>
              <w:spacing w:line="340" w:lineRule="exact"/>
              <w:jc w:val="center"/>
              <w:rPr>
                <w:rFonts w:ascii="宋体" w:hAnsi="Calibri"/>
                <w:b/>
                <w:bCs/>
                <w:color w:val="000000"/>
                <w:sz w:val="22"/>
              </w:rPr>
            </w:pPr>
            <w:r>
              <w:rPr>
                <w:rFonts w:hint="eastAsia" w:ascii="宋体"/>
                <w:color w:val="000000"/>
                <w:sz w:val="22"/>
              </w:rPr>
              <w:t>2</w:t>
            </w:r>
          </w:p>
        </w:tc>
        <w:tc>
          <w:tcPr>
            <w:tcW w:w="1134" w:type="dxa"/>
            <w:vMerge w:val="restart"/>
            <w:tcBorders>
              <w:top w:val="nil"/>
              <w:left w:val="nil"/>
              <w:bottom w:val="single" w:color="auto" w:sz="6" w:space="0"/>
              <w:right w:val="single" w:color="auto" w:sz="6" w:space="0"/>
            </w:tcBorders>
            <w:vAlign w:val="center"/>
          </w:tcPr>
          <w:p>
            <w:pPr>
              <w:snapToGrid w:val="0"/>
              <w:spacing w:line="340" w:lineRule="exact"/>
              <w:jc w:val="center"/>
              <w:rPr>
                <w:rFonts w:ascii="宋体" w:hAnsi="Calibri"/>
                <w:b/>
                <w:bCs/>
                <w:color w:val="000000"/>
                <w:sz w:val="22"/>
              </w:rPr>
            </w:pPr>
            <w:r>
              <w:rPr>
                <w:rFonts w:hint="eastAsia" w:ascii="宋体"/>
                <w:color w:val="000000"/>
                <w:sz w:val="22"/>
              </w:rPr>
              <w:t>系统性能</w:t>
            </w: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系统支持软硬一体机，支持千兆以上网络环境及大概至少1500个客户端同时并发的监控，应达到每秒50000个以上的事务处理能力。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top w:val="nil"/>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top w:val="nil"/>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审计数据最少支持壹年，并支持外接存储设备进行备份。数据应进行加密保管，只能通过专门工具进行恢复和查询浏览。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top w:val="nil"/>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top w:val="nil"/>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支持集群,系统支持冗余备份。系统配置文件支持导入、导出。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tcBorders>
              <w:top w:val="single" w:color="auto" w:sz="6" w:space="0"/>
              <w:left w:val="single" w:color="auto" w:sz="6" w:space="0"/>
              <w:bottom w:val="single" w:color="auto" w:sz="6" w:space="0"/>
              <w:right w:val="single" w:color="auto" w:sz="6" w:space="0"/>
            </w:tcBorders>
            <w:vAlign w:val="center"/>
          </w:tcPr>
          <w:p>
            <w:pPr>
              <w:snapToGrid w:val="0"/>
              <w:spacing w:line="340" w:lineRule="exact"/>
              <w:jc w:val="center"/>
              <w:rPr>
                <w:rFonts w:ascii="宋体" w:hAnsi="Calibri"/>
                <w:b/>
                <w:bCs/>
                <w:color w:val="000000"/>
                <w:sz w:val="22"/>
              </w:rPr>
            </w:pPr>
            <w:r>
              <w:rPr>
                <w:rFonts w:hint="eastAsia" w:ascii="宋体"/>
                <w:color w:val="000000"/>
                <w:sz w:val="22"/>
              </w:rPr>
              <w:t>3</w:t>
            </w:r>
          </w:p>
        </w:tc>
        <w:tc>
          <w:tcPr>
            <w:tcW w:w="1134" w:type="dxa"/>
            <w:tcBorders>
              <w:top w:val="single" w:color="auto" w:sz="6" w:space="0"/>
              <w:left w:val="nil"/>
              <w:bottom w:val="single" w:color="auto" w:sz="6" w:space="0"/>
              <w:right w:val="single" w:color="auto" w:sz="6" w:space="0"/>
            </w:tcBorders>
            <w:vAlign w:val="center"/>
          </w:tcPr>
          <w:p>
            <w:pPr>
              <w:snapToGrid w:val="0"/>
              <w:spacing w:line="340" w:lineRule="exact"/>
              <w:jc w:val="center"/>
              <w:rPr>
                <w:rFonts w:ascii="宋体" w:hAnsi="Calibri"/>
                <w:b/>
                <w:bCs/>
                <w:color w:val="000000"/>
                <w:sz w:val="22"/>
              </w:rPr>
            </w:pPr>
            <w:r>
              <w:rPr>
                <w:rFonts w:hint="eastAsia" w:ascii="宋体"/>
                <w:color w:val="000000"/>
                <w:sz w:val="22"/>
              </w:rPr>
              <w:t>数据库支持</w:t>
            </w: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themeColor="text1"/>
                <w:sz w:val="22"/>
              </w:rPr>
            </w:pPr>
            <w:r>
              <w:rPr>
                <w:rFonts w:hint="eastAsia" w:ascii="宋体" w:hAnsi="宋体" w:cs="宋体"/>
                <w:color w:val="000000"/>
                <w:kern w:val="0"/>
                <w:szCs w:val="21"/>
              </w:rPr>
              <w:t>★</w:t>
            </w:r>
            <w:r>
              <w:rPr>
                <w:rFonts w:hint="eastAsia" w:ascii="宋体"/>
                <w:color w:val="000000" w:themeColor="text1"/>
                <w:sz w:val="22"/>
              </w:rPr>
              <w:t>支持对Oracle、MS-SQL 、DB2、MYSQL、CACHE DB、POSTGRESQL和Sybase 等主流数据库提供自动化评估、审计和保护功能,可审计的数据库或集群数量不少于6个，并且支持单家医疗机构多种类型数据库并存的信息系统。（提供功能截图）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restart"/>
            <w:tcBorders>
              <w:top w:val="nil"/>
              <w:left w:val="single" w:color="auto" w:sz="6" w:space="0"/>
              <w:bottom w:val="single" w:color="auto" w:sz="6" w:space="0"/>
              <w:right w:val="single" w:color="auto" w:sz="6" w:space="0"/>
            </w:tcBorders>
            <w:vAlign w:val="center"/>
          </w:tcPr>
          <w:p>
            <w:pPr>
              <w:snapToGrid w:val="0"/>
              <w:spacing w:line="340" w:lineRule="exact"/>
              <w:jc w:val="center"/>
              <w:rPr>
                <w:rFonts w:ascii="宋体" w:hAnsi="Calibri"/>
                <w:b/>
                <w:bCs/>
                <w:color w:val="000000"/>
                <w:sz w:val="22"/>
              </w:rPr>
            </w:pPr>
            <w:r>
              <w:rPr>
                <w:rFonts w:hint="eastAsia" w:ascii="宋体"/>
                <w:color w:val="000000"/>
                <w:sz w:val="22"/>
              </w:rPr>
              <w:t>4</w:t>
            </w:r>
          </w:p>
        </w:tc>
        <w:tc>
          <w:tcPr>
            <w:tcW w:w="1134" w:type="dxa"/>
            <w:vMerge w:val="restart"/>
            <w:tcBorders>
              <w:top w:val="nil"/>
              <w:left w:val="nil"/>
              <w:bottom w:val="single" w:color="auto" w:sz="6" w:space="0"/>
              <w:right w:val="single" w:color="auto" w:sz="6" w:space="0"/>
            </w:tcBorders>
            <w:vAlign w:val="center"/>
          </w:tcPr>
          <w:p>
            <w:pPr>
              <w:snapToGrid w:val="0"/>
              <w:spacing w:line="340" w:lineRule="exact"/>
              <w:jc w:val="center"/>
              <w:rPr>
                <w:rFonts w:ascii="宋体" w:hAnsi="Calibri"/>
                <w:b/>
                <w:bCs/>
                <w:color w:val="000000"/>
                <w:sz w:val="22"/>
              </w:rPr>
            </w:pPr>
            <w:r>
              <w:rPr>
                <w:rFonts w:hint="eastAsia" w:ascii="宋体"/>
                <w:color w:val="000000"/>
                <w:sz w:val="22"/>
              </w:rPr>
              <w:t>用户权限</w:t>
            </w: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通过定义用户角色，灵活制定每个用户所拥有的权限，权限颗粒度能控制到界面视图和按钮操作。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top w:val="nil"/>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top w:val="nil"/>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管理、审计用户权限分开，相应权限的用户只能查看、管理相应的系统功能，责任明确。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restart"/>
            <w:tcBorders>
              <w:top w:val="nil"/>
              <w:left w:val="single" w:color="auto" w:sz="6" w:space="0"/>
              <w:bottom w:val="single" w:color="auto" w:sz="6" w:space="0"/>
              <w:right w:val="single" w:color="auto" w:sz="6" w:space="0"/>
            </w:tcBorders>
            <w:vAlign w:val="center"/>
          </w:tcPr>
          <w:p>
            <w:pPr>
              <w:snapToGrid w:val="0"/>
              <w:spacing w:line="340" w:lineRule="exact"/>
              <w:jc w:val="center"/>
              <w:rPr>
                <w:rFonts w:ascii="宋体" w:hAnsi="Calibri"/>
                <w:b/>
                <w:bCs/>
                <w:color w:val="000000"/>
                <w:sz w:val="22"/>
              </w:rPr>
            </w:pPr>
            <w:r>
              <w:rPr>
                <w:rFonts w:hint="eastAsia" w:ascii="宋体"/>
                <w:color w:val="000000"/>
                <w:sz w:val="22"/>
              </w:rPr>
              <w:t>5</w:t>
            </w:r>
          </w:p>
        </w:tc>
        <w:tc>
          <w:tcPr>
            <w:tcW w:w="1134" w:type="dxa"/>
            <w:vMerge w:val="restart"/>
            <w:tcBorders>
              <w:top w:val="nil"/>
              <w:left w:val="nil"/>
              <w:bottom w:val="single" w:color="auto" w:sz="6" w:space="0"/>
              <w:right w:val="single" w:color="auto" w:sz="6" w:space="0"/>
            </w:tcBorders>
            <w:vAlign w:val="center"/>
          </w:tcPr>
          <w:p>
            <w:pPr>
              <w:snapToGrid w:val="0"/>
              <w:spacing w:line="340" w:lineRule="exact"/>
              <w:jc w:val="center"/>
              <w:rPr>
                <w:rFonts w:ascii="宋体" w:hAnsi="Calibri"/>
                <w:b/>
                <w:bCs/>
                <w:color w:val="000000"/>
                <w:sz w:val="22"/>
              </w:rPr>
            </w:pPr>
            <w:r>
              <w:rPr>
                <w:rFonts w:hint="eastAsia" w:ascii="宋体"/>
                <w:color w:val="000000"/>
                <w:sz w:val="22"/>
              </w:rPr>
              <w:t>事件管理</w:t>
            </w: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系统从业务流程角度入手，结合核心数据特征，提供了高度集成的“事前+事中+事后”数据防护手段。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top w:val="nil"/>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top w:val="nil"/>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系统确保最小报警监控时间间隔为5秒，保证统方事件的及时告警。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top w:val="nil"/>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top w:val="nil"/>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主动/被动方式监控关键服务器的开放端口，提供扫描现有应用系统的漏洞。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top w:val="nil"/>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top w:val="nil"/>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根据客户端应用程序名单，实时阻断非法客户端程序或伪装正常客户端程序对关键服务器的访问。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top w:val="nil"/>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top w:val="nil"/>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阻断可疑会话功能，甄别数据访问，阻止非正常数据会话。能根据预定规则阻断SQL语句的“数据库墙”功能，如根据系统设置的客户端IP/MAC黑名单，以及数据内容中的敏感信息，实时阻断黑名单中的客户端对关键服务器的访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top w:val="nil"/>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top w:val="nil"/>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多种部署方式（串接/并接）下都可以阻断客户端进行疑似的统方行为。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top w:val="nil"/>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top w:val="nil"/>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color w:val="FF0000"/>
                <w:sz w:val="22"/>
              </w:rPr>
            </w:pPr>
            <w:r>
              <w:rPr>
                <w:rFonts w:hint="eastAsia" w:ascii="宋体" w:hAnsi="宋体" w:cs="Arial"/>
                <w:b/>
                <w:bCs/>
                <w:color w:val="000000" w:themeColor="text1"/>
                <w:kern w:val="21"/>
                <w:szCs w:val="21"/>
              </w:rPr>
              <w:t>▲</w:t>
            </w:r>
            <w:r>
              <w:rPr>
                <w:rFonts w:hint="eastAsia" w:ascii="宋体"/>
                <w:color w:val="000000"/>
                <w:sz w:val="22"/>
              </w:rPr>
              <w:t>能实现与桌面管理系统软件进行防统方事前阻断、截屏、锁屏（提供同一厂家的桌面管理系统软件的著作权登记证书</w:t>
            </w:r>
            <w:r>
              <w:rPr>
                <w:rFonts w:hint="eastAsia" w:ascii="宋体"/>
                <w:color w:val="000000"/>
                <w:sz w:val="22"/>
                <w:lang w:val="en-US" w:eastAsia="zh-CN"/>
              </w:rPr>
              <w:t>加盖公章</w:t>
            </w:r>
            <w:r>
              <w:rPr>
                <w:rFonts w:hint="eastAsia" w:ascii="宋体"/>
                <w:color w:val="000000"/>
                <w:sz w:val="2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restart"/>
            <w:tcBorders>
              <w:top w:val="nil"/>
              <w:left w:val="single" w:color="auto" w:sz="6" w:space="0"/>
              <w:bottom w:val="single" w:color="auto" w:sz="6" w:space="0"/>
              <w:right w:val="single" w:color="auto" w:sz="6" w:space="0"/>
            </w:tcBorders>
            <w:vAlign w:val="center"/>
          </w:tcPr>
          <w:p>
            <w:pPr>
              <w:snapToGrid w:val="0"/>
              <w:spacing w:line="340" w:lineRule="exact"/>
              <w:jc w:val="center"/>
              <w:rPr>
                <w:rFonts w:ascii="宋体" w:hAnsi="Calibri"/>
                <w:b/>
                <w:bCs/>
                <w:color w:val="000000"/>
                <w:sz w:val="22"/>
              </w:rPr>
            </w:pPr>
            <w:r>
              <w:rPr>
                <w:rFonts w:hint="eastAsia" w:ascii="宋体"/>
                <w:color w:val="000000"/>
                <w:sz w:val="22"/>
              </w:rPr>
              <w:t>6</w:t>
            </w:r>
          </w:p>
        </w:tc>
        <w:tc>
          <w:tcPr>
            <w:tcW w:w="1134" w:type="dxa"/>
            <w:vMerge w:val="restart"/>
            <w:tcBorders>
              <w:top w:val="nil"/>
              <w:left w:val="nil"/>
              <w:bottom w:val="single" w:color="auto" w:sz="6" w:space="0"/>
              <w:right w:val="single" w:color="auto" w:sz="6" w:space="0"/>
            </w:tcBorders>
            <w:vAlign w:val="center"/>
          </w:tcPr>
          <w:p>
            <w:pPr>
              <w:snapToGrid w:val="0"/>
              <w:spacing w:line="340" w:lineRule="exact"/>
              <w:jc w:val="center"/>
              <w:rPr>
                <w:rFonts w:ascii="宋体" w:hAnsi="Calibri"/>
                <w:b/>
                <w:bCs/>
                <w:color w:val="000000"/>
                <w:sz w:val="22"/>
              </w:rPr>
            </w:pPr>
            <w:r>
              <w:rPr>
                <w:rFonts w:hint="eastAsia" w:ascii="宋体"/>
                <w:color w:val="000000"/>
                <w:sz w:val="22"/>
              </w:rPr>
              <w:t>预警管理</w:t>
            </w: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系统应能对自身的事件（包括登录、系统参数修改、系统异常等）进行审计并预警。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top w:val="nil"/>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top w:val="nil"/>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可根据用户自定义规则实时发出手机短信通知和邮件提醒等多种方式的告警信息，并支持配备相应的告警信息发送设备。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top w:val="nil"/>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top w:val="nil"/>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themeColor="text1"/>
                <w:sz w:val="22"/>
              </w:rPr>
            </w:pPr>
            <w:r>
              <w:rPr>
                <w:rFonts w:hint="eastAsia" w:ascii="宋体" w:hAnsi="宋体" w:cs="宋体"/>
                <w:color w:val="000000"/>
                <w:kern w:val="0"/>
                <w:szCs w:val="21"/>
              </w:rPr>
              <w:t>★</w:t>
            </w:r>
            <w:r>
              <w:rPr>
                <w:rFonts w:hint="eastAsia" w:ascii="宋体"/>
                <w:color w:val="000000" w:themeColor="text1"/>
                <w:sz w:val="22"/>
              </w:rPr>
              <w:t>可针对事件执行指定预警操作，手机APP告警（提供功能截图）；直接通过厂家第三方云平台免费发送短信；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top w:val="nil"/>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top w:val="nil"/>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统方白名单权限的设置，可对授权统方行为的操作人员工号、操作类型、IP地址、客户端工具、操作系统用户名、主机名、MAC地址、SQL语句和操作的时间范围等条件进行设置，只有通过了授权和验证才可以获得统方权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top w:val="nil"/>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top w:val="nil"/>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可根据SQL执行的时间长短设定规则，如命令执行时长超过30秒进行告警；可根据返回记录数多少设定规则，如SQL操作返回的记录数或受影响的行数大于等于10000行时进行告警。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top w:val="nil"/>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top w:val="nil"/>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提供数据库登录用户名称异常探测、数据库操作源终端异常探测、数据库操作源程序名称异常探测、数据库操作源终端用户名称异常探测，可设定异常黑白名单，对客户端地址、客户端程序、数据库账号、客户端用户名以及执行结果等异常的行为进行异常告警，支持自主学习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top w:val="nil"/>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top w:val="nil"/>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能够检测网络拷贝等操作,能够检测通过网络KVM发出的指令。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restart"/>
            <w:tcBorders>
              <w:top w:val="nil"/>
              <w:left w:val="single" w:color="auto" w:sz="6" w:space="0"/>
              <w:right w:val="single" w:color="auto" w:sz="6" w:space="0"/>
            </w:tcBorders>
            <w:vAlign w:val="center"/>
          </w:tcPr>
          <w:p>
            <w:pPr>
              <w:snapToGrid w:val="0"/>
              <w:spacing w:line="340" w:lineRule="exact"/>
              <w:jc w:val="center"/>
              <w:rPr>
                <w:rFonts w:ascii="宋体" w:hAnsi="Calibri"/>
                <w:b/>
                <w:bCs/>
                <w:color w:val="000000"/>
                <w:sz w:val="22"/>
              </w:rPr>
            </w:pPr>
            <w:r>
              <w:rPr>
                <w:rFonts w:hint="eastAsia" w:ascii="宋体"/>
                <w:color w:val="000000"/>
                <w:sz w:val="22"/>
              </w:rPr>
              <w:t>7</w:t>
            </w:r>
          </w:p>
        </w:tc>
        <w:tc>
          <w:tcPr>
            <w:tcW w:w="1134" w:type="dxa"/>
            <w:vMerge w:val="restart"/>
            <w:tcBorders>
              <w:top w:val="nil"/>
              <w:left w:val="nil"/>
              <w:right w:val="single" w:color="auto" w:sz="6" w:space="0"/>
            </w:tcBorders>
            <w:vAlign w:val="center"/>
          </w:tcPr>
          <w:p>
            <w:pPr>
              <w:snapToGrid w:val="0"/>
              <w:spacing w:line="340" w:lineRule="exact"/>
              <w:jc w:val="center"/>
              <w:rPr>
                <w:rFonts w:ascii="宋体" w:hAnsi="Calibri"/>
                <w:b/>
                <w:bCs/>
                <w:color w:val="000000"/>
                <w:sz w:val="22"/>
              </w:rPr>
            </w:pPr>
            <w:r>
              <w:rPr>
                <w:rFonts w:hint="eastAsia" w:ascii="宋体"/>
                <w:color w:val="000000"/>
                <w:sz w:val="22"/>
              </w:rPr>
              <w:t>审计方式</w:t>
            </w: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系统应能支持对数据库SQL操作语句的详细审计，可以分析出每条语句的操作方式、表名、存储过程名、详细操作内容，执行时长、操作成功/失败，受影响行数，关联表与关联表数等字段信息，可审计并还原SQL操作语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left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left w:val="nil"/>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可以监控和审计用户对数据库中的数据库表 、视图、序列、包、存储过程、函数、库、索引、同义词、快照、触发器等的创建、修改和删除等，分析的内容可以精确到SQL操作语句一级。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left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left w:val="nil"/>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支持对超长SQL语句完整解析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left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left w:val="nil"/>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themeColor="text1"/>
                <w:sz w:val="22"/>
              </w:rPr>
            </w:pPr>
            <w:r>
              <w:rPr>
                <w:rFonts w:hint="eastAsia" w:ascii="宋体" w:hAnsi="宋体" w:cs="宋体"/>
                <w:color w:val="000000"/>
                <w:kern w:val="0"/>
                <w:szCs w:val="21"/>
              </w:rPr>
              <w:t>★</w:t>
            </w:r>
            <w:r>
              <w:rPr>
                <w:rFonts w:hint="eastAsia" w:ascii="宋体"/>
                <w:color w:val="000000" w:themeColor="text1"/>
                <w:sz w:val="22"/>
              </w:rPr>
              <w:t>支持对双向数据包的解析、识别及还原，不仅对数据库操作请求进行实时监控，而且还可对数据库系统返回结果进行完整的还原，根据统方行为的特征实时告警。（提供功能截图）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left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left w:val="nil"/>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支持包括ASCII、Unicode、UTF-8、UTF-16、GB2312、EBCDIC等编码格式，避免因编码格式不同而导致审计报表出现乱码的情况，保证了审计报表的可读性。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left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left w:val="nil"/>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系统应能支持多个网段客户端对数据库操作行为的会话审计，能够对各种访问数据的途径（如客户端软件、PL/SQL、SQL*Plus、PB、Toad等各种SQL操作工具）进行监控和设计，可以跟踪审计某某时间、某某IP、某某计算机名、某某用户对数据库服务器进行了该类操作，具有可疑对象定位功能，可以精确定位可疑对象的物理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left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left w:val="nil"/>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themeColor="text1"/>
                <w:sz w:val="22"/>
              </w:rPr>
            </w:pPr>
            <w:r>
              <w:rPr>
                <w:rFonts w:hint="eastAsia" w:ascii="宋体" w:hAnsi="宋体" w:cs="宋体"/>
                <w:color w:val="000000"/>
                <w:kern w:val="0"/>
                <w:szCs w:val="21"/>
              </w:rPr>
              <w:t>★</w:t>
            </w:r>
            <w:r>
              <w:rPr>
                <w:rFonts w:hint="eastAsia" w:ascii="宋体"/>
                <w:color w:val="000000" w:themeColor="text1"/>
                <w:sz w:val="22"/>
              </w:rPr>
              <w:t>支持加密方式的数据库连接信息分析（如MS SQL SERVER2005及更高版本等）。（提供功能截图）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left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left w:val="nil"/>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系统可以监控、记录并且还原客户端连接到服务器的TELNET/FTP等远程登录操作信息，记录内容包括客户端IP地址，客户端MAC地址，服务器地址以及产生记录的时间，并提供多种查询，支持多种文件格式导出。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left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left w:val="nil"/>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分析可疑对象的信息，包括IP、端口、MAC、主机名、程序信息、数据库连接信息。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hint="eastAsia" w:ascii="宋体"/>
                <w:color w:val="000000" w:themeColor="text1"/>
                <w:sz w:val="22"/>
              </w:rPr>
            </w:pPr>
            <w:r>
              <w:rPr>
                <w:rFonts w:hint="eastAsia" w:ascii="宋体"/>
                <w:color w:val="000000" w:themeColor="text1"/>
                <w:sz w:val="22"/>
              </w:rPr>
              <w:t>▲支持对接医德医风系统，具有医德医风系统的《软件著作权登记证书》，提供证书复印件厂家盖章。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tcBorders>
              <w:top w:val="single" w:color="auto" w:sz="6" w:space="0"/>
              <w:left w:val="single" w:color="auto" w:sz="6" w:space="0"/>
              <w:bottom w:val="single" w:color="auto" w:sz="6" w:space="0"/>
              <w:right w:val="single" w:color="auto" w:sz="6" w:space="0"/>
            </w:tcBorders>
            <w:vAlign w:val="center"/>
          </w:tcPr>
          <w:p>
            <w:pPr>
              <w:snapToGrid w:val="0"/>
              <w:spacing w:line="340" w:lineRule="exact"/>
              <w:jc w:val="center"/>
              <w:rPr>
                <w:rFonts w:ascii="宋体" w:hAnsi="Calibri"/>
                <w:b/>
                <w:bCs/>
                <w:color w:val="000000"/>
                <w:sz w:val="22"/>
              </w:rPr>
            </w:pPr>
            <w:r>
              <w:rPr>
                <w:rFonts w:hint="eastAsia" w:ascii="宋体"/>
                <w:color w:val="000000"/>
                <w:sz w:val="22"/>
              </w:rPr>
              <w:t>8</w:t>
            </w:r>
          </w:p>
        </w:tc>
        <w:tc>
          <w:tcPr>
            <w:tcW w:w="1134" w:type="dxa"/>
            <w:tcBorders>
              <w:top w:val="single" w:color="auto" w:sz="6" w:space="0"/>
              <w:left w:val="nil"/>
              <w:bottom w:val="single" w:color="auto" w:sz="6" w:space="0"/>
              <w:right w:val="single" w:color="auto" w:sz="6" w:space="0"/>
            </w:tcBorders>
            <w:vAlign w:val="center"/>
          </w:tcPr>
          <w:p>
            <w:pPr>
              <w:snapToGrid w:val="0"/>
              <w:spacing w:line="340" w:lineRule="exact"/>
              <w:jc w:val="center"/>
              <w:rPr>
                <w:rFonts w:ascii="宋体" w:hAnsi="Calibri"/>
                <w:b/>
                <w:bCs/>
                <w:color w:val="000000"/>
                <w:sz w:val="22"/>
              </w:rPr>
            </w:pPr>
            <w:r>
              <w:rPr>
                <w:rFonts w:hint="eastAsia" w:ascii="宋体"/>
                <w:color w:val="000000"/>
                <w:sz w:val="22"/>
              </w:rPr>
              <w:t>非关注内容过滤</w:t>
            </w: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hint="eastAsia" w:ascii="宋体"/>
                <w:color w:val="000000" w:themeColor="text1"/>
                <w:sz w:val="22"/>
              </w:rPr>
            </w:pPr>
            <w:r>
              <w:rPr>
                <w:rFonts w:hint="eastAsia" w:ascii="宋体"/>
                <w:color w:val="000000" w:themeColor="text1"/>
                <w:sz w:val="22"/>
              </w:rPr>
              <w:t>支持指定非关注策略，系统将非关注的内容进行过滤，不进行记录，降低了存储空间和无用信息的堆砌。策略因子包括：数据库操作来源IP地址、数据库登录用户名称、数据库操作源程序名称、数据库操作源终端名称、数据库操作源终端用户名称、SQL操作语句（DDL、DML、DCL）、数据库表组（表、列）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restart"/>
            <w:tcBorders>
              <w:top w:val="nil"/>
              <w:left w:val="single" w:color="auto" w:sz="6" w:space="0"/>
              <w:bottom w:val="single" w:color="auto" w:sz="6" w:space="0"/>
              <w:right w:val="single" w:color="auto" w:sz="6" w:space="0"/>
            </w:tcBorders>
            <w:vAlign w:val="center"/>
          </w:tcPr>
          <w:p>
            <w:pPr>
              <w:snapToGrid w:val="0"/>
              <w:spacing w:line="340" w:lineRule="exact"/>
              <w:jc w:val="center"/>
              <w:rPr>
                <w:rFonts w:ascii="宋体" w:hAnsi="Calibri"/>
                <w:b/>
                <w:bCs/>
                <w:color w:val="000000"/>
                <w:sz w:val="22"/>
              </w:rPr>
            </w:pPr>
            <w:r>
              <w:rPr>
                <w:rFonts w:hint="eastAsia" w:ascii="宋体"/>
                <w:color w:val="000000"/>
                <w:sz w:val="22"/>
              </w:rPr>
              <w:t>9</w:t>
            </w:r>
          </w:p>
        </w:tc>
        <w:tc>
          <w:tcPr>
            <w:tcW w:w="1134" w:type="dxa"/>
            <w:vMerge w:val="restart"/>
            <w:tcBorders>
              <w:top w:val="nil"/>
              <w:left w:val="nil"/>
              <w:bottom w:val="single" w:color="auto" w:sz="6" w:space="0"/>
              <w:right w:val="single" w:color="auto" w:sz="6" w:space="0"/>
            </w:tcBorders>
            <w:vAlign w:val="center"/>
          </w:tcPr>
          <w:p>
            <w:pPr>
              <w:snapToGrid w:val="0"/>
              <w:spacing w:line="340" w:lineRule="exact"/>
              <w:jc w:val="center"/>
              <w:rPr>
                <w:rFonts w:ascii="宋体" w:hAnsi="Calibri"/>
                <w:b/>
                <w:bCs/>
                <w:color w:val="000000"/>
                <w:sz w:val="22"/>
              </w:rPr>
            </w:pPr>
            <w:r>
              <w:rPr>
                <w:rFonts w:hint="eastAsia" w:ascii="宋体"/>
                <w:color w:val="000000"/>
                <w:sz w:val="22"/>
              </w:rPr>
              <w:t>审计内容</w:t>
            </w: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hint="eastAsia" w:ascii="宋体"/>
                <w:color w:val="000000" w:themeColor="text1"/>
                <w:sz w:val="22"/>
              </w:rPr>
            </w:pPr>
            <w:r>
              <w:rPr>
                <w:rFonts w:hint="eastAsia" w:ascii="宋体"/>
                <w:color w:val="000000" w:themeColor="text1"/>
                <w:sz w:val="22"/>
              </w:rPr>
              <w:t>★支持医院信息管理系统多层结构，提供全方位的三层（应用层、中间层、数据库层）的访问审计，三层关联必需支持自动关联，以提升关联准确度和审计人员追踪索源难度，同时需要支持手动关联，可以直接追踪到前端业务的操作人员IP地址、MAC地址和用户. （提供功能截图）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top w:val="nil"/>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top w:val="nil"/>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hint="eastAsia" w:ascii="宋体"/>
                <w:color w:val="000000" w:themeColor="text1"/>
                <w:sz w:val="22"/>
                <w:lang w:eastAsia="zh-CN"/>
              </w:rPr>
            </w:pPr>
            <w:r>
              <w:rPr>
                <w:rFonts w:hint="eastAsia" w:ascii="宋体"/>
                <w:color w:val="000000" w:themeColor="text1"/>
                <w:sz w:val="22"/>
              </w:rPr>
              <w:t>▲虚拟化和上云是医院信息化的趋势，对虚机的监控不能成为盲点，系统支持纯软模式对虚机内部相互访问进行监控。（提供虚拟云防统方系统软件著作权）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top w:val="nil"/>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top w:val="nil"/>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hint="eastAsia" w:ascii="宋体"/>
                <w:color w:val="000000" w:themeColor="text1"/>
                <w:sz w:val="22"/>
              </w:rPr>
            </w:pPr>
            <w:r>
              <w:rPr>
                <w:rFonts w:hint="eastAsia" w:ascii="宋体"/>
                <w:color w:val="000000" w:themeColor="text1"/>
                <w:sz w:val="22"/>
              </w:rPr>
              <w:t>▲支持对指定时间内全院抗菌药物品种、剂型、规格、使用量、使用金额，使用量和使用金额分别排名前N位的抗菌药物品种进行分析，自动生成报表. （提供功能截图）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top w:val="nil"/>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top w:val="nil"/>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支持应用层追踪，通过HIS统方的可以追踪到所使用的HIS工号。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top w:val="nil"/>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top w:val="nil"/>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支持Terminal、Studio、Protal、T-SQL、web等五种Cache访问方式审计；支持Cache运行功能。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top w:val="nil"/>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top w:val="nil"/>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系统对于图形会话的操作审计可以完整记录普通用户的图形操作。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top w:val="nil"/>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top w:val="nil"/>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对于审计结果的查看，可以对操作录像拖拉定位回放。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684" w:type="dxa"/>
            <w:vMerge w:val="continue"/>
            <w:tcBorders>
              <w:top w:val="nil"/>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top w:val="nil"/>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对于支持的图形连接的单点登录功能，无需用户输入用户名密码。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684" w:type="dxa"/>
            <w:vMerge w:val="continue"/>
            <w:tcBorders>
              <w:top w:val="nil"/>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top w:val="nil"/>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color w:val="000000"/>
                <w:sz w:val="22"/>
              </w:rPr>
            </w:pPr>
            <w:r>
              <w:rPr>
                <w:rFonts w:hint="eastAsia" w:ascii="宋体"/>
                <w:color w:val="000000"/>
                <w:sz w:val="22"/>
              </w:rPr>
              <w:t>内置上百家HIS厂家数据字典，直接选择相应HIS就能直接使用，医院更换HIS只要在质保内，厂家免费保障正常使用，不收取额外的接口费。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restart"/>
            <w:tcBorders>
              <w:top w:val="nil"/>
              <w:left w:val="single" w:color="auto" w:sz="6" w:space="0"/>
              <w:bottom w:val="single" w:color="auto" w:sz="6" w:space="0"/>
              <w:right w:val="single" w:color="auto" w:sz="6" w:space="0"/>
            </w:tcBorders>
            <w:vAlign w:val="center"/>
          </w:tcPr>
          <w:p>
            <w:pPr>
              <w:snapToGrid w:val="0"/>
              <w:spacing w:line="340" w:lineRule="exact"/>
              <w:jc w:val="center"/>
              <w:rPr>
                <w:rFonts w:ascii="宋体" w:hAnsi="Calibri"/>
                <w:b/>
                <w:bCs/>
                <w:color w:val="000000"/>
                <w:sz w:val="22"/>
              </w:rPr>
            </w:pPr>
            <w:r>
              <w:rPr>
                <w:rFonts w:hint="eastAsia" w:ascii="宋体"/>
                <w:color w:val="000000"/>
                <w:sz w:val="22"/>
              </w:rPr>
              <w:t>10</w:t>
            </w:r>
          </w:p>
        </w:tc>
        <w:tc>
          <w:tcPr>
            <w:tcW w:w="1134" w:type="dxa"/>
            <w:vMerge w:val="restart"/>
            <w:tcBorders>
              <w:top w:val="nil"/>
              <w:left w:val="nil"/>
              <w:bottom w:val="single" w:color="auto" w:sz="6" w:space="0"/>
              <w:right w:val="single" w:color="auto" w:sz="6" w:space="0"/>
            </w:tcBorders>
            <w:vAlign w:val="center"/>
          </w:tcPr>
          <w:p>
            <w:pPr>
              <w:snapToGrid w:val="0"/>
              <w:spacing w:line="340" w:lineRule="exact"/>
              <w:jc w:val="center"/>
              <w:rPr>
                <w:rFonts w:ascii="宋体" w:hAnsi="Calibri"/>
                <w:b/>
                <w:bCs/>
                <w:color w:val="000000"/>
                <w:sz w:val="22"/>
              </w:rPr>
            </w:pPr>
            <w:r>
              <w:rPr>
                <w:rFonts w:hint="eastAsia" w:ascii="宋体"/>
                <w:color w:val="000000"/>
                <w:sz w:val="22"/>
              </w:rPr>
              <w:t>系统监控</w:t>
            </w: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系统内置防统方知识库，且具有自我学习功能。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top w:val="nil"/>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top w:val="nil"/>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系统内置故障排错系统，判断故障所在，帮助管理人员快速排查问题。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top w:val="nil"/>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top w:val="nil"/>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具备用户行为记录功能，记录用户所有的操作（业务访问、系统维护、策略配置等）。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top w:val="nil"/>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top w:val="nil"/>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可疑对象定位功能，可以精确定位可疑对象的物理位置。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restart"/>
            <w:tcBorders>
              <w:top w:val="nil"/>
              <w:left w:val="single" w:color="auto" w:sz="6" w:space="0"/>
              <w:bottom w:val="single" w:color="auto" w:sz="6" w:space="0"/>
              <w:right w:val="single" w:color="auto" w:sz="6" w:space="0"/>
            </w:tcBorders>
            <w:vAlign w:val="center"/>
          </w:tcPr>
          <w:p>
            <w:pPr>
              <w:snapToGrid w:val="0"/>
              <w:spacing w:line="340" w:lineRule="exact"/>
              <w:jc w:val="center"/>
              <w:rPr>
                <w:rFonts w:ascii="宋体" w:hAnsi="Calibri"/>
                <w:b/>
                <w:bCs/>
                <w:color w:val="000000"/>
                <w:sz w:val="22"/>
              </w:rPr>
            </w:pPr>
            <w:r>
              <w:rPr>
                <w:rFonts w:hint="eastAsia" w:ascii="宋体"/>
                <w:color w:val="000000"/>
                <w:sz w:val="22"/>
              </w:rPr>
              <w:t>11</w:t>
            </w:r>
          </w:p>
        </w:tc>
        <w:tc>
          <w:tcPr>
            <w:tcW w:w="1134" w:type="dxa"/>
            <w:vMerge w:val="restart"/>
            <w:tcBorders>
              <w:top w:val="nil"/>
              <w:left w:val="nil"/>
              <w:bottom w:val="single" w:color="auto" w:sz="6" w:space="0"/>
              <w:right w:val="single" w:color="auto" w:sz="6" w:space="0"/>
            </w:tcBorders>
            <w:vAlign w:val="center"/>
          </w:tcPr>
          <w:p>
            <w:pPr>
              <w:snapToGrid w:val="0"/>
              <w:spacing w:line="340" w:lineRule="exact"/>
              <w:jc w:val="center"/>
              <w:rPr>
                <w:rFonts w:ascii="宋体" w:hAnsi="Calibri"/>
                <w:b/>
                <w:bCs/>
                <w:color w:val="000000"/>
                <w:sz w:val="22"/>
              </w:rPr>
            </w:pPr>
            <w:r>
              <w:rPr>
                <w:rFonts w:hint="eastAsia" w:ascii="宋体"/>
                <w:color w:val="000000"/>
                <w:sz w:val="22"/>
              </w:rPr>
              <w:t>报表管理</w:t>
            </w: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报表的生成方式分为手工报表和自动报表两种，支持多种格式(excel、pdf、txt等)导出。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top w:val="nil"/>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top w:val="nil"/>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可以对某统方行为的所有操作以及操作结果关联起来，以报表的形式呈现给使用部门，便于使用部门分析和追溯统方事件。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top w:val="nil"/>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top w:val="nil"/>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FF0000"/>
                <w:sz w:val="22"/>
              </w:rPr>
            </w:pPr>
            <w:r>
              <w:rPr>
                <w:rFonts w:hint="eastAsia" w:ascii="宋体"/>
                <w:color w:val="000000"/>
                <w:sz w:val="22"/>
              </w:rPr>
              <w:t>★能够出具针对纪委、监察室相关人员使用的防统方审计报告（支持每天或多天生成统方审计报告，报告需简单明了，且具有主动将所有的计算机语言翻译成通俗易懂的自然语言的系统机制，支持将整条SQL语句翻译成中文，</w:t>
            </w:r>
            <w:r>
              <w:rPr>
                <w:rFonts w:hint="eastAsia" w:ascii="宋体"/>
                <w:color w:val="000000"/>
                <w:sz w:val="22"/>
                <w:lang w:val="en-US" w:eastAsia="zh-CN"/>
              </w:rPr>
              <w:t>以便于</w:t>
            </w:r>
            <w:r>
              <w:rPr>
                <w:rFonts w:hint="eastAsia" w:ascii="宋体"/>
                <w:color w:val="000000"/>
                <w:sz w:val="22"/>
              </w:rPr>
              <w:t>医院建立基于内部网络的党风廉政、廉洁警示、院内敏感职权使用的防控专网，支持</w:t>
            </w:r>
            <w:r>
              <w:rPr>
                <w:rFonts w:hint="eastAsia" w:ascii="宋体"/>
                <w:color w:val="000000"/>
                <w:sz w:val="22"/>
                <w:lang w:val="en-US" w:eastAsia="zh-CN"/>
              </w:rPr>
              <w:t>无缝</w:t>
            </w:r>
            <w:r>
              <w:rPr>
                <w:rFonts w:hint="eastAsia" w:ascii="宋体"/>
                <w:color w:val="000000"/>
                <w:sz w:val="22"/>
              </w:rPr>
              <w:t>对接廉政风险防控系统，具有廉政风险防控系统的《软件著作权登记证书》，提供产品截图及证书复印件厂家盖章。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top w:val="nil"/>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top w:val="nil"/>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用户可以根据需要自定义规则，并能根据设定的条件产生审计报告。能对审计结果进行多条件组合查询，比如按下列条件查询：IP地址、MAC地址、表名、操作方式、计算机名、数据库名、程序名等。并就能支持按关键词进行模糊查询。查询结果应支持多种格式(excel、pdf、txt等)导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vMerge w:val="continue"/>
            <w:tcBorders>
              <w:top w:val="nil"/>
              <w:left w:val="single" w:color="auto" w:sz="6" w:space="0"/>
              <w:bottom w:val="single" w:color="auto" w:sz="6" w:space="0"/>
              <w:right w:val="single" w:color="auto" w:sz="6" w:space="0"/>
            </w:tcBorders>
            <w:vAlign w:val="center"/>
          </w:tcPr>
          <w:p>
            <w:pPr>
              <w:rPr>
                <w:rFonts w:ascii="宋体" w:hAnsi="Calibri"/>
                <w:b/>
                <w:bCs/>
                <w:color w:val="000000"/>
                <w:sz w:val="22"/>
              </w:rPr>
            </w:pPr>
          </w:p>
        </w:tc>
        <w:tc>
          <w:tcPr>
            <w:tcW w:w="1134" w:type="dxa"/>
            <w:vMerge w:val="continue"/>
            <w:tcBorders>
              <w:top w:val="nil"/>
              <w:left w:val="nil"/>
              <w:bottom w:val="single" w:color="auto" w:sz="6" w:space="0"/>
              <w:right w:val="single" w:color="auto" w:sz="6" w:space="0"/>
            </w:tcBorders>
            <w:vAlign w:val="center"/>
          </w:tcPr>
          <w:p>
            <w:pPr>
              <w:rPr>
                <w:rFonts w:ascii="宋体" w:hAnsi="Calibri"/>
                <w:b/>
                <w:bCs/>
                <w:color w:val="000000"/>
                <w:sz w:val="22"/>
              </w:rPr>
            </w:pP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sz w:val="22"/>
              </w:rPr>
            </w:pPr>
            <w:r>
              <w:rPr>
                <w:rFonts w:hint="eastAsia" w:ascii="宋体"/>
                <w:color w:val="000000"/>
                <w:sz w:val="22"/>
              </w:rPr>
              <w:t>应用云计算功能提供数据分析平台，对用户提交的数据进行自主分析，并生成报告和相关建议规则反馈给用户。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4" w:type="dxa"/>
            <w:tcBorders>
              <w:top w:val="single" w:color="auto" w:sz="6" w:space="0"/>
              <w:left w:val="single" w:color="auto" w:sz="6" w:space="0"/>
              <w:bottom w:val="single" w:color="auto" w:sz="6" w:space="0"/>
              <w:right w:val="single" w:color="auto" w:sz="6" w:space="0"/>
            </w:tcBorders>
            <w:vAlign w:val="center"/>
          </w:tcPr>
          <w:p>
            <w:pPr>
              <w:snapToGrid w:val="0"/>
              <w:spacing w:line="340" w:lineRule="exact"/>
              <w:jc w:val="center"/>
              <w:rPr>
                <w:rFonts w:ascii="宋体" w:hAnsi="Calibri"/>
                <w:b/>
                <w:bCs/>
                <w:color w:val="000000"/>
                <w:sz w:val="22"/>
              </w:rPr>
            </w:pPr>
            <w:r>
              <w:rPr>
                <w:rFonts w:hint="eastAsia" w:ascii="宋体"/>
                <w:color w:val="000000"/>
                <w:sz w:val="22"/>
              </w:rPr>
              <w:t>12</w:t>
            </w:r>
          </w:p>
        </w:tc>
        <w:tc>
          <w:tcPr>
            <w:tcW w:w="1134" w:type="dxa"/>
            <w:tcBorders>
              <w:top w:val="single" w:color="auto" w:sz="6" w:space="0"/>
              <w:left w:val="nil"/>
              <w:bottom w:val="single" w:color="auto" w:sz="6" w:space="0"/>
              <w:right w:val="single" w:color="auto" w:sz="6" w:space="0"/>
            </w:tcBorders>
            <w:vAlign w:val="center"/>
          </w:tcPr>
          <w:p>
            <w:pPr>
              <w:snapToGrid w:val="0"/>
              <w:spacing w:line="340" w:lineRule="exact"/>
              <w:jc w:val="center"/>
              <w:rPr>
                <w:rFonts w:ascii="宋体" w:hAnsi="Calibri"/>
                <w:b/>
                <w:bCs/>
                <w:color w:val="000000"/>
                <w:sz w:val="22"/>
              </w:rPr>
            </w:pPr>
            <w:r>
              <w:rPr>
                <w:rFonts w:hint="eastAsia" w:ascii="宋体"/>
                <w:color w:val="000000"/>
                <w:sz w:val="22"/>
              </w:rPr>
              <w:t>知识产权与安全要求</w:t>
            </w:r>
          </w:p>
        </w:tc>
        <w:tc>
          <w:tcPr>
            <w:tcW w:w="7838" w:type="dxa"/>
            <w:tcBorders>
              <w:top w:val="single" w:color="auto" w:sz="6" w:space="0"/>
              <w:left w:val="nil"/>
              <w:bottom w:val="single" w:color="auto" w:sz="6" w:space="0"/>
              <w:right w:val="single" w:color="auto" w:sz="6" w:space="0"/>
            </w:tcBorders>
            <w:vAlign w:val="center"/>
          </w:tcPr>
          <w:p>
            <w:pPr>
              <w:snapToGrid w:val="0"/>
              <w:spacing w:line="340" w:lineRule="exact"/>
              <w:rPr>
                <w:rFonts w:ascii="宋体" w:hAnsi="Calibri"/>
                <w:b/>
                <w:bCs/>
                <w:color w:val="000000" w:themeColor="text1"/>
                <w:sz w:val="22"/>
              </w:rPr>
            </w:pPr>
            <w:r>
              <w:rPr>
                <w:rFonts w:hint="eastAsia" w:ascii="宋体"/>
                <w:color w:val="000000" w:themeColor="text1"/>
                <w:sz w:val="22"/>
              </w:rPr>
              <w:t>系统具有自主知识产权，需提供防统方系统的软件著作权证书（提供证书复印件并加盖原厂公章）</w:t>
            </w:r>
          </w:p>
          <w:p>
            <w:pPr>
              <w:snapToGrid w:val="0"/>
              <w:spacing w:line="340" w:lineRule="exact"/>
              <w:rPr>
                <w:rFonts w:ascii="宋体"/>
                <w:b/>
                <w:bCs/>
                <w:color w:val="000000" w:themeColor="text1"/>
                <w:sz w:val="22"/>
              </w:rPr>
            </w:pPr>
            <w:r>
              <w:rPr>
                <w:rFonts w:hint="eastAsia" w:ascii="宋体"/>
                <w:color w:val="000000" w:themeColor="text1"/>
                <w:sz w:val="22"/>
              </w:rPr>
              <w:t>需提供防统方系统软件产品登记证书和防统方集中管理系统软件产品登记证书。（提供证书复印件并加盖原厂公章）</w:t>
            </w:r>
          </w:p>
          <w:p>
            <w:pPr>
              <w:rPr>
                <w:rFonts w:ascii="宋体"/>
                <w:b/>
                <w:bCs/>
                <w:color w:val="000000" w:themeColor="text1"/>
                <w:sz w:val="22"/>
              </w:rPr>
            </w:pPr>
            <w:r>
              <w:rPr>
                <w:rFonts w:hint="eastAsia" w:ascii="宋体"/>
                <w:color w:val="000000" w:themeColor="text1"/>
                <w:sz w:val="22"/>
              </w:rPr>
              <w:t>提供的防统方系统软件需获得公安部计算机信息系统安全产品销售许可证。（提供证书复印件并加盖原厂公章）。</w:t>
            </w:r>
          </w:p>
          <w:p>
            <w:pPr>
              <w:rPr>
                <w:rFonts w:ascii="宋体" w:hAnsi="Calibri"/>
                <w:b/>
                <w:bCs/>
                <w:color w:val="000000"/>
                <w:sz w:val="22"/>
              </w:rPr>
            </w:pPr>
            <w:r>
              <w:rPr>
                <w:rFonts w:hint="eastAsia" w:ascii="宋体"/>
                <w:color w:val="000000" w:themeColor="text1"/>
                <w:sz w:val="22"/>
              </w:rPr>
              <w:t>产品获得防统方系统医院科技创新奖。（提供证书复印件并加盖原厂公章）</w:t>
            </w:r>
          </w:p>
        </w:tc>
      </w:tr>
    </w:tbl>
    <w:p>
      <w:pPr>
        <w:rPr>
          <w:rFonts w:ascii="华文仿宋" w:hAnsi="华文仿宋" w:eastAsia="华文仿宋" w:cs="Times New Roman"/>
          <w:color w:val="000000" w:themeColor="text1"/>
          <w:szCs w:val="21"/>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2BB2"/>
    <w:rsid w:val="000110D4"/>
    <w:rsid w:val="00051306"/>
    <w:rsid w:val="000E0F87"/>
    <w:rsid w:val="00113EB7"/>
    <w:rsid w:val="001572FE"/>
    <w:rsid w:val="001F68A2"/>
    <w:rsid w:val="0020084D"/>
    <w:rsid w:val="00242BB2"/>
    <w:rsid w:val="00302BF3"/>
    <w:rsid w:val="00442D44"/>
    <w:rsid w:val="004961CE"/>
    <w:rsid w:val="004B2A72"/>
    <w:rsid w:val="004C30B1"/>
    <w:rsid w:val="00535E51"/>
    <w:rsid w:val="005600BB"/>
    <w:rsid w:val="005A36DF"/>
    <w:rsid w:val="005A6A64"/>
    <w:rsid w:val="005C2EF2"/>
    <w:rsid w:val="0061499B"/>
    <w:rsid w:val="0062180E"/>
    <w:rsid w:val="007E2452"/>
    <w:rsid w:val="00907E90"/>
    <w:rsid w:val="00920B0D"/>
    <w:rsid w:val="00953B4B"/>
    <w:rsid w:val="009C71C7"/>
    <w:rsid w:val="00A122E3"/>
    <w:rsid w:val="00A446E4"/>
    <w:rsid w:val="00B70ED0"/>
    <w:rsid w:val="00C0261F"/>
    <w:rsid w:val="00C1564D"/>
    <w:rsid w:val="00C7371A"/>
    <w:rsid w:val="00CA2B63"/>
    <w:rsid w:val="00CD7AB6"/>
    <w:rsid w:val="00CF5922"/>
    <w:rsid w:val="00D90905"/>
    <w:rsid w:val="00DA0A29"/>
    <w:rsid w:val="00E24B53"/>
    <w:rsid w:val="00EA4DDF"/>
    <w:rsid w:val="00EB57B3"/>
    <w:rsid w:val="00EC5B63"/>
    <w:rsid w:val="00ED7206"/>
    <w:rsid w:val="00FD2ECE"/>
    <w:rsid w:val="035C7F8B"/>
    <w:rsid w:val="06016F60"/>
    <w:rsid w:val="070B2869"/>
    <w:rsid w:val="0984303F"/>
    <w:rsid w:val="09D0443D"/>
    <w:rsid w:val="0B8635DC"/>
    <w:rsid w:val="0C65636F"/>
    <w:rsid w:val="0C7C25EB"/>
    <w:rsid w:val="0D1A656E"/>
    <w:rsid w:val="101C08FE"/>
    <w:rsid w:val="129C4FC2"/>
    <w:rsid w:val="1385641E"/>
    <w:rsid w:val="14EF0A2F"/>
    <w:rsid w:val="15CB6944"/>
    <w:rsid w:val="19B03826"/>
    <w:rsid w:val="1B01267A"/>
    <w:rsid w:val="1C4748FC"/>
    <w:rsid w:val="1C577072"/>
    <w:rsid w:val="1F3602C2"/>
    <w:rsid w:val="224C591A"/>
    <w:rsid w:val="228D3B0B"/>
    <w:rsid w:val="2293686B"/>
    <w:rsid w:val="25E73062"/>
    <w:rsid w:val="2AF52945"/>
    <w:rsid w:val="2CB90423"/>
    <w:rsid w:val="2ED67734"/>
    <w:rsid w:val="2F4465CF"/>
    <w:rsid w:val="33991C78"/>
    <w:rsid w:val="35F901E0"/>
    <w:rsid w:val="38A622C8"/>
    <w:rsid w:val="3AEA0659"/>
    <w:rsid w:val="3DC63487"/>
    <w:rsid w:val="3FFD2767"/>
    <w:rsid w:val="41C02BAA"/>
    <w:rsid w:val="445755DC"/>
    <w:rsid w:val="4BFB6795"/>
    <w:rsid w:val="4C82238E"/>
    <w:rsid w:val="4EE317F8"/>
    <w:rsid w:val="593A026B"/>
    <w:rsid w:val="594B419F"/>
    <w:rsid w:val="5D3267B5"/>
    <w:rsid w:val="5E7B57C7"/>
    <w:rsid w:val="626E0707"/>
    <w:rsid w:val="65A16BC4"/>
    <w:rsid w:val="6A343B35"/>
    <w:rsid w:val="6F3052B3"/>
    <w:rsid w:val="76746174"/>
    <w:rsid w:val="79135BF6"/>
    <w:rsid w:val="7D274A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keepNext/>
      <w:keepLines/>
      <w:spacing w:before="260" w:after="260" w:line="415" w:lineRule="auto"/>
      <w:outlineLvl w:val="2"/>
    </w:pPr>
    <w:rPr>
      <w:rFonts w:ascii="Times New Roman" w:hAnsi="Times New Roman" w:eastAsia="??"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4"/>
    <w:unhideWhenUsed/>
    <w:qFormat/>
    <w:uiPriority w:val="0"/>
    <w:pPr>
      <w:ind w:firstLine="420"/>
    </w:pPr>
    <w:rPr>
      <w:rFonts w:ascii="Times New Roman" w:hAnsi="Times New Roman" w:eastAsia="??" w:cs="Times New Roman"/>
      <w:szCs w:val="28"/>
    </w:rPr>
  </w:style>
  <w:style w:type="paragraph" w:styleId="4">
    <w:name w:val="Body Text"/>
    <w:basedOn w:val="1"/>
    <w:link w:val="16"/>
    <w:semiHidden/>
    <w:unhideWhenUsed/>
    <w:qFormat/>
    <w:uiPriority w:val="99"/>
    <w:pPr>
      <w:spacing w:after="120"/>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able of figures"/>
    <w:basedOn w:val="1"/>
    <w:next w:val="1"/>
    <w:qFormat/>
    <w:uiPriority w:val="0"/>
    <w:pPr>
      <w:widowControl/>
      <w:ind w:left="840" w:leftChars="200" w:hanging="420" w:hangingChars="200"/>
      <w:jc w:val="left"/>
    </w:pPr>
    <w:rPr>
      <w:rFonts w:ascii="Times New Roman" w:hAnsi="Times New Roman" w:eastAsia="宋体" w:cs="Times New Roman"/>
      <w:kern w:val="0"/>
      <w:szCs w:val="20"/>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标题 3 Char"/>
    <w:basedOn w:val="9"/>
    <w:link w:val="2"/>
    <w:qFormat/>
    <w:uiPriority w:val="9"/>
    <w:rPr>
      <w:rFonts w:ascii="Times New Roman" w:hAnsi="Times New Roman" w:eastAsia="??" w:cs="Times New Roman"/>
      <w:b/>
      <w:bCs/>
      <w:sz w:val="32"/>
      <w:szCs w:val="32"/>
    </w:rPr>
  </w:style>
  <w:style w:type="paragraph" w:customStyle="1" w:styleId="13">
    <w:name w:val="列出段落1"/>
    <w:basedOn w:val="1"/>
    <w:qFormat/>
    <w:uiPriority w:val="0"/>
    <w:pPr>
      <w:ind w:firstLine="200" w:firstLineChars="200"/>
    </w:pPr>
    <w:rPr>
      <w:rFonts w:ascii="Times New Roman" w:hAnsi="Times New Roman" w:eastAsia="??" w:cs="Times New Roman"/>
      <w:szCs w:val="28"/>
    </w:rPr>
  </w:style>
  <w:style w:type="character" w:customStyle="1" w:styleId="14">
    <w:name w:val="正文缩进 Char"/>
    <w:link w:val="3"/>
    <w:qFormat/>
    <w:uiPriority w:val="0"/>
    <w:rPr>
      <w:rFonts w:ascii="Times New Roman" w:hAnsi="Times New Roman" w:eastAsia="??" w:cs="Times New Roman"/>
      <w:kern w:val="2"/>
      <w:sz w:val="21"/>
      <w:szCs w:val="28"/>
    </w:rPr>
  </w:style>
  <w:style w:type="paragraph" w:customStyle="1" w:styleId="15">
    <w:name w:val="表格文字"/>
    <w:basedOn w:val="1"/>
    <w:next w:val="4"/>
    <w:qFormat/>
    <w:uiPriority w:val="0"/>
    <w:pPr>
      <w:widowControl/>
      <w:adjustRightInd w:val="0"/>
      <w:spacing w:line="420" w:lineRule="atLeast"/>
      <w:jc w:val="left"/>
      <w:textAlignment w:val="baseline"/>
    </w:pPr>
    <w:rPr>
      <w:rFonts w:ascii="Times New Roman" w:hAnsi="Times New Roman" w:eastAsia="宋体" w:cs="Times New Roman"/>
      <w:kern w:val="0"/>
      <w:szCs w:val="24"/>
    </w:rPr>
  </w:style>
  <w:style w:type="character" w:customStyle="1" w:styleId="16">
    <w:name w:val="正文文本 Char"/>
    <w:basedOn w:val="9"/>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998</Words>
  <Characters>5694</Characters>
  <Lines>47</Lines>
  <Paragraphs>13</Paragraphs>
  <TotalTime>0</TotalTime>
  <ScaleCrop>false</ScaleCrop>
  <LinksUpToDate>false</LinksUpToDate>
  <CharactersWithSpaces>6679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2019-04-08T14:12:00Z</dcterms:created>
  <dc:creator>AutoBVT</dc:creator>
  <cp:lastModifiedBy>Administrator</cp:lastModifiedBy>
  <dcterms:modified xsi:type="dcterms:W3CDTF">2019-11-26T01:03:48Z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